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640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黑体" w:cs="Times New Roman"/>
          <w:color w:val="auto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2</w:t>
      </w:r>
    </w:p>
    <w:p w14:paraId="33CE049E">
      <w:pPr>
        <w:keepNext w:val="0"/>
        <w:keepLines w:val="0"/>
        <w:pageBreakBefore w:val="0"/>
        <w:widowControl w:val="0"/>
        <w:tabs>
          <w:tab w:val="left" w:pos="5392"/>
        </w:tabs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w w:val="96"/>
          <w:kern w:val="0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w w:val="96"/>
          <w:kern w:val="0"/>
          <w:sz w:val="44"/>
          <w:szCs w:val="44"/>
          <w:highlight w:val="none"/>
          <w:lang w:val="en-US" w:eastAsia="zh-CN"/>
        </w:rPr>
        <w:t>“香山工匠杯”2025年乡村风貌提升与改造</w:t>
      </w:r>
    </w:p>
    <w:p w14:paraId="25902359">
      <w:pPr>
        <w:keepNext w:val="0"/>
        <w:keepLines w:val="0"/>
        <w:pageBreakBefore w:val="0"/>
        <w:widowControl w:val="0"/>
        <w:tabs>
          <w:tab w:val="left" w:pos="5392"/>
        </w:tabs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w w:val="96"/>
          <w:kern w:val="0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w w:val="96"/>
          <w:kern w:val="0"/>
          <w:sz w:val="44"/>
          <w:szCs w:val="44"/>
          <w:highlight w:val="none"/>
          <w:lang w:val="en-US" w:eastAsia="zh-CN"/>
        </w:rPr>
        <w:t>设计竞赛评价标准</w:t>
      </w:r>
    </w:p>
    <w:p w14:paraId="142F5EEE">
      <w:pPr>
        <w:keepNext w:val="0"/>
        <w:keepLines w:val="0"/>
        <w:pageBreakBefore w:val="0"/>
        <w:widowControl w:val="0"/>
        <w:tabs>
          <w:tab w:val="left" w:pos="5392"/>
        </w:tabs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初赛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标准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如下：</w:t>
      </w:r>
    </w:p>
    <w:tbl>
      <w:tblPr>
        <w:tblStyle w:val="10"/>
        <w:tblW w:w="93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2025"/>
        <w:gridCol w:w="5230"/>
      </w:tblGrid>
      <w:tr w14:paraId="1812F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24" w:type="dxa"/>
            <w:vAlign w:val="center"/>
          </w:tcPr>
          <w:p w14:paraId="149F3A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评分项</w:t>
            </w:r>
          </w:p>
        </w:tc>
        <w:tc>
          <w:tcPr>
            <w:tcW w:w="2025" w:type="dxa"/>
            <w:vAlign w:val="center"/>
          </w:tcPr>
          <w:p w14:paraId="2D84D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分值</w:t>
            </w:r>
          </w:p>
        </w:tc>
        <w:tc>
          <w:tcPr>
            <w:tcW w:w="5230" w:type="dxa"/>
            <w:vAlign w:val="center"/>
          </w:tcPr>
          <w:p w14:paraId="5E29B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评分内容</w:t>
            </w:r>
          </w:p>
        </w:tc>
      </w:tr>
      <w:tr w14:paraId="380C0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Merge w:val="restart"/>
            <w:vAlign w:val="center"/>
          </w:tcPr>
          <w:p w14:paraId="23D3D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设计质量与创新性</w:t>
            </w:r>
          </w:p>
          <w:p w14:paraId="11356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（合计45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2025" w:type="dxa"/>
            <w:vAlign w:val="center"/>
          </w:tcPr>
          <w:p w14:paraId="4517E4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理念与创意</w:t>
            </w:r>
          </w:p>
          <w:p w14:paraId="0CCB1B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（15分）</w:t>
            </w:r>
          </w:p>
          <w:p w14:paraId="0C999E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230" w:type="dxa"/>
            <w:vAlign w:val="center"/>
          </w:tcPr>
          <w:p w14:paraId="1426D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15分：理念先进，创意独特，具有示范性；  </w:t>
            </w:r>
          </w:p>
          <w:p w14:paraId="658D2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9–14分：创意较新颖，但示范性不足；  </w:t>
            </w:r>
          </w:p>
          <w:p w14:paraId="56CBD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4–8分：创意一般，缺乏亮点； </w:t>
            </w:r>
          </w:p>
          <w:p w14:paraId="30877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0–3分：创意平淡或照搬套用。</w:t>
            </w:r>
          </w:p>
        </w:tc>
      </w:tr>
      <w:tr w14:paraId="19F90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Merge w:val="continue"/>
            <w:vAlign w:val="center"/>
          </w:tcPr>
          <w:p w14:paraId="77D10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center"/>
          </w:tcPr>
          <w:p w14:paraId="29DED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风貌与文化（15分）</w:t>
            </w:r>
          </w:p>
        </w:tc>
        <w:tc>
          <w:tcPr>
            <w:tcW w:w="5230" w:type="dxa"/>
            <w:vAlign w:val="center"/>
          </w:tcPr>
          <w:p w14:paraId="55719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15分：充分挖掘并展现中山地域文化、岭南建筑风貌等；</w:t>
            </w:r>
          </w:p>
          <w:p w14:paraId="7552F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9–14分：地方文化元素运用较好，环境协调性稍弱；  </w:t>
            </w:r>
          </w:p>
          <w:p w14:paraId="6C3B7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4–8分：地方文化元素较少，环境协调性弱；  </w:t>
            </w:r>
          </w:p>
          <w:p w14:paraId="0D1497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0–3分：地方文化层面的表达缺失或不当。</w:t>
            </w:r>
          </w:p>
        </w:tc>
      </w:tr>
      <w:tr w14:paraId="2D0E1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Merge w:val="continue"/>
            <w:vAlign w:val="center"/>
          </w:tcPr>
          <w:p w14:paraId="2ABA6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center"/>
          </w:tcPr>
          <w:p w14:paraId="1301F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功能与空间</w:t>
            </w:r>
          </w:p>
          <w:p w14:paraId="148744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（5分）</w:t>
            </w:r>
          </w:p>
        </w:tc>
        <w:tc>
          <w:tcPr>
            <w:tcW w:w="5230" w:type="dxa"/>
            <w:vAlign w:val="center"/>
          </w:tcPr>
          <w:p w14:paraId="6B899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5分：功能合理，流线清晰，空间高效；  </w:t>
            </w:r>
          </w:p>
          <w:p w14:paraId="4DDCD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3–4分：功能较合理，空间效果较好；  </w:t>
            </w:r>
          </w:p>
          <w:p w14:paraId="69D98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2分：功能一般，空间平淡；  </w:t>
            </w:r>
          </w:p>
          <w:p w14:paraId="2ED1A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0–1分：功能混乱，空间品质不高。</w:t>
            </w:r>
          </w:p>
        </w:tc>
      </w:tr>
      <w:tr w14:paraId="00181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Merge w:val="continue"/>
            <w:vAlign w:val="center"/>
          </w:tcPr>
          <w:p w14:paraId="50A49E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center"/>
          </w:tcPr>
          <w:p w14:paraId="164D2C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绿色低碳与新技术应用（5分）</w:t>
            </w:r>
          </w:p>
        </w:tc>
        <w:tc>
          <w:tcPr>
            <w:tcW w:w="5230" w:type="dxa"/>
            <w:vAlign w:val="center"/>
          </w:tcPr>
          <w:p w14:paraId="1653B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5分：被动式节能、可再生能源、乡土低碳材料等新技术集成度高；  </w:t>
            </w:r>
          </w:p>
          <w:p w14:paraId="3B4AE2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3–4分：部分绿色技术应用；  </w:t>
            </w:r>
          </w:p>
          <w:p w14:paraId="4071CE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1–2分：技术单一或生搬硬套；  </w:t>
            </w:r>
          </w:p>
          <w:p w14:paraId="6D4E9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 分：基本未体现绿色理念。</w:t>
            </w:r>
          </w:p>
        </w:tc>
      </w:tr>
      <w:tr w14:paraId="5BE58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Merge w:val="continue"/>
            <w:vAlign w:val="center"/>
          </w:tcPr>
          <w:p w14:paraId="08000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center"/>
          </w:tcPr>
          <w:p w14:paraId="3A8FD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经济性及可推广性</w:t>
            </w:r>
          </w:p>
          <w:p w14:paraId="4253E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（5分）</w:t>
            </w:r>
          </w:p>
        </w:tc>
        <w:tc>
          <w:tcPr>
            <w:tcW w:w="5230" w:type="dxa"/>
            <w:vAlign w:val="center"/>
          </w:tcPr>
          <w:p w14:paraId="0BAC5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5分：造价控制合理，技术易复制，后期运维成本低；  </w:t>
            </w:r>
          </w:p>
          <w:p w14:paraId="64193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3–4分：造价略高但可复制；  </w:t>
            </w:r>
          </w:p>
          <w:p w14:paraId="1A932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1–2分：造价偏高或推广受限；</w:t>
            </w:r>
          </w:p>
          <w:p w14:paraId="06F34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 分：造价过高且难以推广。</w:t>
            </w:r>
          </w:p>
        </w:tc>
      </w:tr>
      <w:tr w14:paraId="0C572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Merge w:val="restart"/>
            <w:vAlign w:val="center"/>
          </w:tcPr>
          <w:p w14:paraId="6FF03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乡村风貌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提升效果</w:t>
            </w:r>
          </w:p>
          <w:p w14:paraId="6C3CF5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（合计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45分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2025" w:type="dxa"/>
            <w:vAlign w:val="center"/>
          </w:tcPr>
          <w:p w14:paraId="3A54E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整体协调性（25分）</w:t>
            </w:r>
          </w:p>
        </w:tc>
        <w:tc>
          <w:tcPr>
            <w:tcW w:w="5230" w:type="dxa"/>
            <w:vAlign w:val="center"/>
          </w:tcPr>
          <w:p w14:paraId="5911B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25分：单体或片区与周边环境、村落肌理高度协调；  </w:t>
            </w:r>
          </w:p>
          <w:p w14:paraId="2F045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14–24分：协调性较好；  </w:t>
            </w:r>
          </w:p>
          <w:p w14:paraId="479D4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4–13分：协调性一般；  </w:t>
            </w:r>
          </w:p>
          <w:p w14:paraId="6136D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0–3分：突兀、破坏原有风貌。</w:t>
            </w:r>
          </w:p>
        </w:tc>
      </w:tr>
      <w:tr w14:paraId="4DCB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Merge w:val="continue"/>
            <w:vAlign w:val="center"/>
          </w:tcPr>
          <w:p w14:paraId="569DC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2025" w:type="dxa"/>
            <w:vAlign w:val="center"/>
          </w:tcPr>
          <w:p w14:paraId="29315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风貌改善程度</w:t>
            </w:r>
          </w:p>
          <w:p w14:paraId="17A18A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（20分）</w:t>
            </w:r>
          </w:p>
          <w:p w14:paraId="300295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5230" w:type="dxa"/>
            <w:vAlign w:val="center"/>
          </w:tcPr>
          <w:p w14:paraId="2E7CB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20分：改造前后对比强烈，风貌品质显著提升；  </w:t>
            </w:r>
          </w:p>
          <w:p w14:paraId="65674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10–19分：风貌品质改善明显；  </w:t>
            </w:r>
          </w:p>
          <w:p w14:paraId="506CD3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4–9分：风貌品质改善一般；  </w:t>
            </w:r>
          </w:p>
          <w:p w14:paraId="36120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0–3分：改善微弱或无明显变化。</w:t>
            </w:r>
          </w:p>
        </w:tc>
      </w:tr>
      <w:tr w14:paraId="499A1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Merge w:val="restart"/>
            <w:vAlign w:val="center"/>
          </w:tcPr>
          <w:p w14:paraId="254F3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施工质量与规范性</w:t>
            </w:r>
          </w:p>
          <w:p w14:paraId="7FE89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（合计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适用于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已完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工投入使用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的项目</w:t>
            </w:r>
          </w:p>
        </w:tc>
        <w:tc>
          <w:tcPr>
            <w:tcW w:w="2025" w:type="dxa"/>
            <w:vAlign w:val="center"/>
          </w:tcPr>
          <w:p w14:paraId="51BAC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  <w:t>施工工艺与细节</w:t>
            </w:r>
          </w:p>
          <w:p w14:paraId="473D7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  <w:t>分）</w:t>
            </w:r>
          </w:p>
        </w:tc>
        <w:tc>
          <w:tcPr>
            <w:tcW w:w="5230" w:type="dxa"/>
            <w:vAlign w:val="center"/>
          </w:tcPr>
          <w:p w14:paraId="17A06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  <w:t>分：工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艺精湛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  <w:t>，细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节处理周全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  <w:t xml:space="preserve">；  </w:t>
            </w:r>
          </w:p>
          <w:p w14:paraId="75269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  <w:t>–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  <w:t xml:space="preserve">分：工艺较好，局部细节一般；  </w:t>
            </w:r>
          </w:p>
          <w:p w14:paraId="4CB96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  <w:t>–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  <w:t xml:space="preserve">分：工艺普通，细节粗糙；  </w:t>
            </w:r>
          </w:p>
          <w:p w14:paraId="3A57A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  <w:t>0分：工艺粗糙，缺陷明显。</w:t>
            </w:r>
          </w:p>
        </w:tc>
      </w:tr>
      <w:tr w14:paraId="7ECDC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Merge w:val="continue"/>
            <w:vAlign w:val="center"/>
          </w:tcPr>
          <w:p w14:paraId="02713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2025" w:type="dxa"/>
            <w:vAlign w:val="center"/>
          </w:tcPr>
          <w:p w14:paraId="123ED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材料选择与质感</w:t>
            </w:r>
          </w:p>
          <w:p w14:paraId="18D27B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（3分）</w:t>
            </w:r>
          </w:p>
        </w:tc>
        <w:tc>
          <w:tcPr>
            <w:tcW w:w="5230" w:type="dxa"/>
            <w:vAlign w:val="center"/>
          </w:tcPr>
          <w:p w14:paraId="3B588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  <w:t>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：材料乡土、经济、耐久，质感统一协调；  </w:t>
            </w:r>
          </w:p>
          <w:p w14:paraId="71DBC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  <w:t>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：材料选择较合理，质感尚可；  </w:t>
            </w:r>
          </w:p>
          <w:p w14:paraId="278E71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  <w:t>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：材料普通，质感一般；  </w:t>
            </w:r>
          </w:p>
          <w:p w14:paraId="08CAC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0分：材料劣质或与风貌冲突。</w:t>
            </w:r>
          </w:p>
        </w:tc>
      </w:tr>
      <w:tr w14:paraId="77744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Merge w:val="continue"/>
            <w:vAlign w:val="center"/>
          </w:tcPr>
          <w:p w14:paraId="14E83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2025" w:type="dxa"/>
            <w:vAlign w:val="center"/>
          </w:tcPr>
          <w:p w14:paraId="64B8A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合规与安全（2分） </w:t>
            </w:r>
          </w:p>
        </w:tc>
        <w:tc>
          <w:tcPr>
            <w:tcW w:w="5230" w:type="dxa"/>
            <w:vAlign w:val="center"/>
          </w:tcPr>
          <w:p w14:paraId="54F48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2分：严格执行国家及地方规范、标准，施工全过程零事故；  </w:t>
            </w:r>
          </w:p>
          <w:p w14:paraId="362E7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1分：基本符合规范，轻微瑕疵；  </w:t>
            </w:r>
          </w:p>
          <w:p w14:paraId="4EF29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0分：局部不符规范或存在安全隐患、存在违规或事故记录。</w:t>
            </w:r>
          </w:p>
        </w:tc>
      </w:tr>
      <w:tr w14:paraId="6EA7C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028A9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设计实施度与施工</w:t>
            </w:r>
          </w:p>
          <w:p w14:paraId="04722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20" w:firstLineChars="1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合规性</w:t>
            </w:r>
          </w:p>
          <w:p w14:paraId="6DE31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（合计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适用于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设计已通过审查且正在实施的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项目</w:t>
            </w:r>
          </w:p>
        </w:tc>
        <w:tc>
          <w:tcPr>
            <w:tcW w:w="2025" w:type="dxa"/>
            <w:vAlign w:val="center"/>
          </w:tcPr>
          <w:p w14:paraId="24C13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</w:p>
          <w:p w14:paraId="15747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5230" w:type="dxa"/>
            <w:vAlign w:val="center"/>
          </w:tcPr>
          <w:p w14:paraId="432779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5分：通过审查的设计能完整落实并展开施工计划，且有部分合规的已完工现场。</w:t>
            </w:r>
          </w:p>
          <w:p w14:paraId="67EFF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3-4分：通过审查的设计基本（80%以上）可以落实成施工计划，且有部分合规的已开工现场。</w:t>
            </w:r>
          </w:p>
          <w:p w14:paraId="2036D7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1-2分：通过审查的设计部分（50%以上）可以落实成施工计划。</w:t>
            </w:r>
          </w:p>
          <w:p w14:paraId="3C29EE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0分：通过审查的设计难以实施。</w:t>
            </w:r>
          </w:p>
          <w:p w14:paraId="4DF58E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</w:p>
        </w:tc>
      </w:tr>
    </w:tbl>
    <w:p w14:paraId="398194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1D2B71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决赛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标准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如下：</w:t>
      </w:r>
    </w:p>
    <w:tbl>
      <w:tblPr>
        <w:tblStyle w:val="10"/>
        <w:tblW w:w="86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2"/>
        <w:gridCol w:w="2873"/>
        <w:gridCol w:w="2873"/>
      </w:tblGrid>
      <w:tr w14:paraId="08678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872" w:type="dxa"/>
            <w:vAlign w:val="center"/>
          </w:tcPr>
          <w:p w14:paraId="47C07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评分项</w:t>
            </w:r>
          </w:p>
        </w:tc>
        <w:tc>
          <w:tcPr>
            <w:tcW w:w="2873" w:type="dxa"/>
            <w:vAlign w:val="center"/>
          </w:tcPr>
          <w:p w14:paraId="065A9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分值</w:t>
            </w:r>
          </w:p>
        </w:tc>
        <w:tc>
          <w:tcPr>
            <w:tcW w:w="2873" w:type="dxa"/>
            <w:vAlign w:val="center"/>
          </w:tcPr>
          <w:p w14:paraId="150C24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评分内容</w:t>
            </w:r>
          </w:p>
        </w:tc>
      </w:tr>
      <w:tr w14:paraId="4D3FA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4" w:hRule="atLeast"/>
        </w:trPr>
        <w:tc>
          <w:tcPr>
            <w:tcW w:w="2872" w:type="dxa"/>
            <w:vAlign w:val="center"/>
          </w:tcPr>
          <w:p w14:paraId="78A66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设计质量与创新性</w:t>
            </w:r>
          </w:p>
        </w:tc>
        <w:tc>
          <w:tcPr>
            <w:tcW w:w="2873" w:type="dxa"/>
            <w:vAlign w:val="center"/>
          </w:tcPr>
          <w:p w14:paraId="64024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分</w:t>
            </w:r>
          </w:p>
        </w:tc>
        <w:tc>
          <w:tcPr>
            <w:tcW w:w="2873" w:type="dxa"/>
            <w:vAlign w:val="center"/>
          </w:tcPr>
          <w:p w14:paraId="66049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设计方案新颖独特，符合中山市乡村风貌特色，具有可推广性。</w:t>
            </w:r>
          </w:p>
        </w:tc>
      </w:tr>
      <w:tr w14:paraId="27751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2872" w:type="dxa"/>
            <w:vAlign w:val="center"/>
          </w:tcPr>
          <w:p w14:paraId="25D3F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乡村风貌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提升效果</w:t>
            </w:r>
          </w:p>
        </w:tc>
        <w:tc>
          <w:tcPr>
            <w:tcW w:w="2873" w:type="dxa"/>
            <w:vAlign w:val="center"/>
          </w:tcPr>
          <w:p w14:paraId="3E26B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45分</w:t>
            </w:r>
          </w:p>
        </w:tc>
        <w:tc>
          <w:tcPr>
            <w:tcW w:w="2873" w:type="dxa"/>
            <w:vAlign w:val="center"/>
          </w:tcPr>
          <w:p w14:paraId="3B026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乡村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风貌得到显著改善，与周边环境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和谐共生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。</w:t>
            </w:r>
          </w:p>
        </w:tc>
      </w:tr>
      <w:tr w14:paraId="4755E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0" w:hRule="atLeast"/>
        </w:trPr>
        <w:tc>
          <w:tcPr>
            <w:tcW w:w="2872" w:type="dxa"/>
            <w:vMerge w:val="restart"/>
            <w:vAlign w:val="center"/>
          </w:tcPr>
          <w:p w14:paraId="3763CE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施工质量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合规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性</w:t>
            </w:r>
          </w:p>
          <w:p w14:paraId="1FBF2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设计方案落地性</w:t>
            </w:r>
          </w:p>
        </w:tc>
        <w:tc>
          <w:tcPr>
            <w:tcW w:w="2873" w:type="dxa"/>
            <w:vAlign w:val="center"/>
          </w:tcPr>
          <w:p w14:paraId="57B2B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分</w:t>
            </w:r>
          </w:p>
        </w:tc>
        <w:tc>
          <w:tcPr>
            <w:tcW w:w="2873" w:type="dxa"/>
            <w:vAlign w:val="center"/>
          </w:tcPr>
          <w:p w14:paraId="1E68A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已完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工投入使用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的项目评审标准：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改造和提升效果符合设计要求，施工工艺精湛，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施工质量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合规。</w:t>
            </w:r>
          </w:p>
        </w:tc>
      </w:tr>
      <w:tr w14:paraId="2E283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0" w:hRule="atLeast"/>
        </w:trPr>
        <w:tc>
          <w:tcPr>
            <w:tcW w:w="2872" w:type="dxa"/>
            <w:vMerge w:val="continue"/>
            <w:shd w:val="clear" w:color="auto" w:fill="auto"/>
            <w:vAlign w:val="center"/>
          </w:tcPr>
          <w:p w14:paraId="3AE6AB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873" w:type="dxa"/>
            <w:shd w:val="clear" w:color="auto" w:fill="auto"/>
            <w:vAlign w:val="center"/>
          </w:tcPr>
          <w:p w14:paraId="14DD6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  <w:t>5分</w:t>
            </w:r>
          </w:p>
        </w:tc>
        <w:tc>
          <w:tcPr>
            <w:tcW w:w="2873" w:type="dxa"/>
            <w:vAlign w:val="center"/>
          </w:tcPr>
          <w:p w14:paraId="5A7CF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设计已通过审查且正在实施的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项目评审标准：设计方案能完整的落地实施，施工质量合规。</w:t>
            </w:r>
          </w:p>
        </w:tc>
      </w:tr>
    </w:tbl>
    <w:p w14:paraId="38F3A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0B75E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42D9D7">
                          <w:pPr>
                            <w:pStyle w:val="7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42D9D7">
                    <w:pPr>
                      <w:pStyle w:val="7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A09D3"/>
    <w:rsid w:val="0A6D41A1"/>
    <w:rsid w:val="0C720387"/>
    <w:rsid w:val="0DE77EDE"/>
    <w:rsid w:val="10836853"/>
    <w:rsid w:val="10B800D8"/>
    <w:rsid w:val="1AD05CA5"/>
    <w:rsid w:val="1F672E6A"/>
    <w:rsid w:val="1FF7D46C"/>
    <w:rsid w:val="217D0591"/>
    <w:rsid w:val="249C0614"/>
    <w:rsid w:val="2DDE36F9"/>
    <w:rsid w:val="2EDE2C10"/>
    <w:rsid w:val="2FF507C9"/>
    <w:rsid w:val="31DABDF7"/>
    <w:rsid w:val="3EDA02F0"/>
    <w:rsid w:val="41474D01"/>
    <w:rsid w:val="4FB508EC"/>
    <w:rsid w:val="50FE0EE4"/>
    <w:rsid w:val="51F6A15D"/>
    <w:rsid w:val="539F35FD"/>
    <w:rsid w:val="59771406"/>
    <w:rsid w:val="5BBB8C1F"/>
    <w:rsid w:val="5BE6335F"/>
    <w:rsid w:val="5D215536"/>
    <w:rsid w:val="5DFF2993"/>
    <w:rsid w:val="5F7E0B5A"/>
    <w:rsid w:val="5FDF1EE5"/>
    <w:rsid w:val="5FF7A915"/>
    <w:rsid w:val="62DEBD3C"/>
    <w:rsid w:val="6BD200C5"/>
    <w:rsid w:val="6EDF43BB"/>
    <w:rsid w:val="6EE4775C"/>
    <w:rsid w:val="6FEF7D61"/>
    <w:rsid w:val="6FFE6F13"/>
    <w:rsid w:val="6FFF186E"/>
    <w:rsid w:val="72B92879"/>
    <w:rsid w:val="72FB3F59"/>
    <w:rsid w:val="75EA3E44"/>
    <w:rsid w:val="75F609AA"/>
    <w:rsid w:val="77770923"/>
    <w:rsid w:val="7AFBE3AB"/>
    <w:rsid w:val="7BA779F3"/>
    <w:rsid w:val="7BC7749B"/>
    <w:rsid w:val="7E85601B"/>
    <w:rsid w:val="7EDFCE4F"/>
    <w:rsid w:val="7F7817F8"/>
    <w:rsid w:val="7F78C030"/>
    <w:rsid w:val="7F7FF571"/>
    <w:rsid w:val="7F7FF9E0"/>
    <w:rsid w:val="7F999AAA"/>
    <w:rsid w:val="7FDE0656"/>
    <w:rsid w:val="7FF9E4D7"/>
    <w:rsid w:val="9BABC993"/>
    <w:rsid w:val="9EFB9C57"/>
    <w:rsid w:val="9FBE5C62"/>
    <w:rsid w:val="9FFD9BD2"/>
    <w:rsid w:val="A93F701F"/>
    <w:rsid w:val="ADCDD00A"/>
    <w:rsid w:val="AF8D9695"/>
    <w:rsid w:val="B52D7D16"/>
    <w:rsid w:val="B53B8E11"/>
    <w:rsid w:val="BBFB0A94"/>
    <w:rsid w:val="BDEE1968"/>
    <w:rsid w:val="BDF4D54B"/>
    <w:rsid w:val="BF5E77B5"/>
    <w:rsid w:val="BFF597D7"/>
    <w:rsid w:val="C3DBBC9B"/>
    <w:rsid w:val="CE6FE6AD"/>
    <w:rsid w:val="CF33FF46"/>
    <w:rsid w:val="CF5EBD2E"/>
    <w:rsid w:val="CFBF1537"/>
    <w:rsid w:val="D3FF2A86"/>
    <w:rsid w:val="DEBDEE67"/>
    <w:rsid w:val="DEF74931"/>
    <w:rsid w:val="DF6F0973"/>
    <w:rsid w:val="DFEFB356"/>
    <w:rsid w:val="DFFE5C27"/>
    <w:rsid w:val="E5EB5956"/>
    <w:rsid w:val="E8B7B402"/>
    <w:rsid w:val="EEDE4756"/>
    <w:rsid w:val="EF2F25AA"/>
    <w:rsid w:val="EF5F2BC7"/>
    <w:rsid w:val="EF76ED57"/>
    <w:rsid w:val="EFD4E0B1"/>
    <w:rsid w:val="EFD72A63"/>
    <w:rsid w:val="EFFBDC9D"/>
    <w:rsid w:val="EFFF8D85"/>
    <w:rsid w:val="F3EF732A"/>
    <w:rsid w:val="F6DBA7A6"/>
    <w:rsid w:val="F6F7941F"/>
    <w:rsid w:val="F7BF314D"/>
    <w:rsid w:val="F7F37BFB"/>
    <w:rsid w:val="FBF9D569"/>
    <w:rsid w:val="FD5FCE6A"/>
    <w:rsid w:val="FDCF9D5E"/>
    <w:rsid w:val="FDEF5C61"/>
    <w:rsid w:val="FF1FE624"/>
    <w:rsid w:val="FF2F56B4"/>
    <w:rsid w:val="FFD68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qFormat/>
    <w:uiPriority w:val="0"/>
  </w:style>
  <w:style w:type="table" w:default="1" w:styleId="9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</w:rPr>
  </w:style>
  <w:style w:type="paragraph" w:styleId="4">
    <w:name w:val="table of authorities"/>
    <w:basedOn w:val="1"/>
    <w:next w:val="1"/>
    <w:qFormat/>
    <w:uiPriority w:val="0"/>
    <w:pPr>
      <w:ind w:left="420" w:leftChars="200"/>
    </w:pPr>
  </w:style>
  <w:style w:type="paragraph" w:styleId="5">
    <w:name w:val="Body Text"/>
    <w:basedOn w:val="1"/>
    <w:next w:val="6"/>
    <w:qFormat/>
    <w:uiPriority w:val="0"/>
  </w:style>
  <w:style w:type="paragraph" w:styleId="6">
    <w:name w:val="toc 5"/>
    <w:basedOn w:val="1"/>
    <w:next w:val="1"/>
    <w:qFormat/>
    <w:uiPriority w:val="0"/>
    <w:pPr>
      <w:suppressAutoHyphens/>
      <w:ind w:left="1680" w:leftChars="800"/>
    </w:pPr>
    <w:rPr>
      <w:kern w:val="1"/>
      <w:lang w:eastAsia="ar-SA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paragraph" w:customStyle="1" w:styleId="15">
    <w:name w:val="Body Text First Indent 2_8b7606dd-23f6-464e-891f-717e7575f3df"/>
    <w:basedOn w:val="16"/>
    <w:qFormat/>
    <w:uiPriority w:val="0"/>
    <w:pPr>
      <w:spacing w:line="360" w:lineRule="auto"/>
    </w:pPr>
    <w:rPr>
      <w:rFonts w:eastAsia="宋体"/>
      <w:sz w:val="24"/>
    </w:rPr>
  </w:style>
  <w:style w:type="paragraph" w:customStyle="1" w:styleId="16">
    <w:name w:val="Body Text Indent_d855caf7-6656-44bb-a410-11cc17a9ee16"/>
    <w:basedOn w:val="1"/>
    <w:qFormat/>
    <w:uiPriority w:val="0"/>
    <w:pPr>
      <w:spacing w:line="150" w:lineRule="atLeast"/>
      <w:ind w:firstLine="420" w:firstLineChars="200"/>
      <w:textAlignment w:val="baseline"/>
    </w:pPr>
    <w:rPr>
      <w:rFonts w:ascii="Times New Roman" w:hAnsi="Times New Roman" w:cs="Times New Roman"/>
      <w:szCs w:val="24"/>
      <w:lang w:bidi="ar-SA"/>
    </w:rPr>
  </w:style>
  <w:style w:type="paragraph" w:customStyle="1" w:styleId="17">
    <w:name w:val="table of authorities1"/>
    <w:basedOn w:val="1"/>
    <w:next w:val="1"/>
    <w:qFormat/>
    <w:uiPriority w:val="0"/>
    <w:pPr>
      <w:ind w:left="420" w:leftChars="200"/>
    </w:pPr>
  </w:style>
  <w:style w:type="paragraph" w:customStyle="1" w:styleId="18">
    <w:name w:val="Other|1"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1"/>
      <w:szCs w:val="2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3063</Words>
  <Characters>3216</Characters>
  <Paragraphs>387</Paragraphs>
  <TotalTime>8</TotalTime>
  <ScaleCrop>false</ScaleCrop>
  <LinksUpToDate>false</LinksUpToDate>
  <CharactersWithSpaces>3440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2025-06-17T17:38:00Z</dcterms:created>
  <dc:creator>蔡中嘉</dc:creator>
  <cp:lastModifiedBy>蔡中嘉</cp:lastModifiedBy>
  <cp:lastPrinted>2025-08-23T03:05:00Z</cp:lastPrinted>
  <dcterms:modified xsi:type="dcterms:W3CDTF">2025-08-26T02:01:28Z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0FD0235D261A472DAFA08A8E90178714_13</vt:lpwstr>
  </property>
  <property fmtid="{D5CDD505-2E9C-101B-9397-08002B2CF9AE}" pid="4" name="KSOTemplateDocerSaveRecord">
    <vt:lpwstr>eyJoZGlkIjoiMzA3OWY3YjhjMzg1OTZjMDM1NTJkMDk2ODQ2YWQ0MDgiLCJ1c2VySWQiOiIxNDk5MDUzNDIxIn0=</vt:lpwstr>
  </property>
</Properties>
</file>