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rPr>
          <w:rFonts w:hint="eastAsia" w:ascii="仿宋_GB2312" w:hAnsi="仿宋_GB2312" w:cs="仿宋_GB2312"/>
          <w:sz w:val="32"/>
          <w:szCs w:val="32"/>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2024年度省住房城乡建设科技创新计划</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揭榜项目选题</w:t>
      </w:r>
    </w:p>
    <w:p>
      <w:pPr>
        <w:numPr>
          <w:ilvl w:val="0"/>
          <w:numId w:val="0"/>
        </w:numPr>
        <w:jc w:val="both"/>
        <w:rPr>
          <w:rFonts w:hint="eastAsia" w:ascii="黑体" w:hAnsi="黑体" w:eastAsia="黑体" w:cs="黑体"/>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一、广东省城市道路无障碍设施建设技术研究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根据国家、省关于无障碍设施建设工作相关要求，结合广东省经济发展水平和公共基础设施规划设计、建设、管理等工作机制，研究编制具有广东省特色的城市道路无障碍设施建设技术导则。为城市道路和交通服务设施的新建、改造提升工程项目提供技术指引，明确城市道路无障碍设施建设和改造技术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包括但不限于形成《广东省城市道路无障碍设施建设提升工程技术导则》</w:t>
      </w:r>
      <w:r>
        <w:rPr>
          <w:rFonts w:hint="eastAsia" w:ascii="仿宋_GB2312" w:hAnsi="仿宋_GB2312" w:eastAsia="仿宋_GB2312" w:cs="仿宋_GB2312"/>
          <w:kern w:val="0"/>
          <w:sz w:val="32"/>
          <w:szCs w:val="32"/>
        </w:rPr>
        <w:t>。</w:t>
      </w:r>
    </w:p>
    <w:p>
      <w:pPr>
        <w:ind w:firstLine="640" w:firstLineChars="200"/>
        <w:jc w:val="both"/>
        <w:rPr>
          <w:rFonts w:hint="default"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二、低养护耐湿热月季新品种创制研究及应用示范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通过杂交育种、芽变选种等方法开展耐湿热月季种质创新研究，创制一批月季新种质，培育低养护耐湿热月季新品种。采用扦插、嫁接等无性繁殖方法进行低养护耐热耐热月季种苗培育，并进行应用示范。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包括但不限于收集保存月季育种种质资源360份以上，创制低养护耐湿热月季新品种2~3个，推广应用低养护耐热月季1万株</w:t>
      </w:r>
      <w:r>
        <w:rPr>
          <w:rFonts w:hint="eastAsia" w:ascii="仿宋_GB2312" w:hAnsi="仿宋_GB2312" w:eastAsia="仿宋_GB2312" w:cs="仿宋_GB2312"/>
          <w:kern w:val="0"/>
          <w:sz w:val="32"/>
          <w:szCs w:val="32"/>
        </w:rPr>
        <w:t>。</w:t>
      </w:r>
    </w:p>
    <w:p>
      <w:pPr>
        <w:ind w:firstLine="640" w:firstLineChars="200"/>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三、面向双碳目标的城市照明绿色低碳发展关键路径研究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重点开展实现碳达峰碳中和目标的城市照明绿色低碳发展路径及关键技术，</w:t>
      </w:r>
      <w:r>
        <w:rPr>
          <w:rFonts w:hint="eastAsia" w:ascii="仿宋_GB2312" w:hAnsi="仿宋_GB2312" w:eastAsia="仿宋_GB2312" w:cs="仿宋_GB2312"/>
          <w:kern w:val="0"/>
          <w:sz w:val="32"/>
          <w:szCs w:val="32"/>
          <w:lang w:val="en-US" w:eastAsia="zh-CN"/>
        </w:rPr>
        <w:t>全面摸清当前城市照明行业耗能情况，就实现双碳目标研究梳理出关键性技术路径，提出切实可行的政策建议，</w:t>
      </w:r>
      <w:r>
        <w:rPr>
          <w:rFonts w:hint="eastAsia" w:ascii="仿宋_GB2312" w:hAnsi="仿宋_GB2312" w:eastAsia="仿宋_GB2312" w:cs="仿宋_GB2312"/>
          <w:kern w:val="0"/>
          <w:sz w:val="32"/>
          <w:szCs w:val="32"/>
        </w:rPr>
        <w:t>为省级主管部门制定下一步政策打下基础。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包括但不限于发表论文1篇，形成技术研究报告1本。</w:t>
      </w:r>
    </w:p>
    <w:p>
      <w:pPr>
        <w:ind w:firstLine="640" w:firstLineChars="200"/>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四、存量生活垃圾治理技术集成及工程示范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lang w:eastAsia="zh-CN"/>
        </w:rPr>
        <w:t>针对现有技术存在的</w:t>
      </w:r>
      <w:r>
        <w:rPr>
          <w:rFonts w:hint="eastAsia" w:ascii="仿宋_GB2312" w:hAnsi="仿宋_GB2312" w:eastAsia="仿宋_GB2312" w:cs="仿宋_GB2312"/>
          <w:kern w:val="0"/>
          <w:sz w:val="32"/>
          <w:szCs w:val="32"/>
        </w:rPr>
        <w:t>好氧稳定化抽注气频率与渗滤液回灌问题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开挖过程臭气管控、雨污分流问题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垃圾筛分正确率问题</w:t>
      </w:r>
      <w:r>
        <w:rPr>
          <w:rFonts w:hint="eastAsia" w:ascii="仿宋_GB2312" w:hAnsi="仿宋_GB2312" w:eastAsia="仿宋_GB2312" w:cs="仿宋_GB2312"/>
          <w:kern w:val="0"/>
          <w:sz w:val="32"/>
          <w:szCs w:val="32"/>
          <w:lang w:eastAsia="zh-CN"/>
        </w:rPr>
        <w:t>和</w:t>
      </w:r>
      <w:r>
        <w:rPr>
          <w:rFonts w:hint="eastAsia" w:ascii="仿宋_GB2312" w:hAnsi="仿宋_GB2312" w:eastAsia="仿宋_GB2312" w:cs="仿宋_GB2312"/>
          <w:kern w:val="0"/>
          <w:sz w:val="32"/>
          <w:szCs w:val="32"/>
        </w:rPr>
        <w:t>末端产物资源化问题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研发存量生活垃圾稳定化处理技术，建立存量生活垃圾稳定化技术评估体系，进行广东省内的生活垃圾填埋场工程示范及应用，以及开展RDF资源化应用研究。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建立存量生活垃圾稳定化技术评估体系，确定存量垃圾好氧稳定化工艺关键性指标；编制《存量生活垃圾治理技术集成研究报告》；在广东省内进行1个存量生活垃圾“好氧稳定化、开挖、分选、分类资源化利用”示范工程。</w:t>
      </w:r>
    </w:p>
    <w:p>
      <w:pPr>
        <w:numPr>
          <w:ilvl w:val="0"/>
          <w:numId w:val="0"/>
        </w:numPr>
        <w:ind w:firstLine="640" w:firstLineChars="200"/>
        <w:jc w:val="both"/>
        <w:rPr>
          <w:rFonts w:hint="eastAsia" w:ascii="黑体" w:hAnsi="黑体" w:eastAsia="黑体" w:cs="黑体"/>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五、既有建筑制冷系统能效评估与节能潜力研究</w:t>
      </w:r>
    </w:p>
    <w:p>
      <w:pPr>
        <w:ind w:firstLine="640" w:firstLineChars="200"/>
        <w:jc w:val="both"/>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sz w:val="32"/>
          <w:szCs w:val="32"/>
          <w:lang w:val="en-US" w:eastAsia="zh-CN"/>
        </w:rPr>
        <w:t>。针对不同类型既有建筑制冷机房，开展制冷系统能效测评，掌握不同年代、不同类型建筑的制冷系统能效现状和设备系统现状，研究分析节能改造潜力，提出有针对性的制冷系统节能改造技术路线，为有序推进既有建筑制冷系统节能改造提供数据支撑。</w:t>
      </w:r>
    </w:p>
    <w:p>
      <w:pPr>
        <w:ind w:firstLine="640" w:firstLineChars="200"/>
        <w:jc w:val="both"/>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sz w:val="32"/>
          <w:szCs w:val="32"/>
          <w:lang w:val="en-US" w:eastAsia="zh-CN"/>
        </w:rPr>
        <w:t>。包括但不限于形成《广东省既有建筑制冷系统能效现状及节能潜力报告》，论文1篇。</w:t>
      </w:r>
    </w:p>
    <w:p>
      <w:pPr>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六、建筑工程全生命期智能建造管理平台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针对建筑工程行业BIM软件</w:t>
      </w:r>
      <w:r>
        <w:rPr>
          <w:rFonts w:hint="eastAsia" w:ascii="仿宋_GB2312" w:hAnsi="仿宋_GB2312" w:eastAsia="仿宋_GB2312" w:cs="仿宋_GB2312"/>
          <w:kern w:val="0"/>
          <w:sz w:val="32"/>
          <w:szCs w:val="32"/>
          <w:lang w:eastAsia="zh-CN"/>
        </w:rPr>
        <w:t>自主化程度不高的</w:t>
      </w:r>
      <w:r>
        <w:rPr>
          <w:rFonts w:hint="eastAsia" w:ascii="仿宋_GB2312" w:hAnsi="仿宋_GB2312" w:eastAsia="仿宋_GB2312" w:cs="仿宋_GB2312"/>
          <w:kern w:val="0"/>
          <w:sz w:val="32"/>
          <w:szCs w:val="32"/>
        </w:rPr>
        <w:t>问题，研发自主可控BIM技术，开发超大规模、高精度、低时延图形引擎</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开发适用于规划、设计、招采、生产、施工、运维等阶段的设计及管理软件，全面支撑建筑工程全生命期智能建造管理，并开展不少于10个以上项目试点应用。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包括但不限于自主可控建筑工程全周期智能建造管理平台1套；示范应用项目10项；论文5篇；专利5项；软著5项。</w:t>
      </w:r>
    </w:p>
    <w:p>
      <w:pPr>
        <w:pStyle w:val="2"/>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七、建造阶段碳监测与碳管理关键技术研究及应用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从碳排放类型及产生来源对建造阶段的碳排放进行分析，实现对建筑建造阶段实际碳排放和预测碳排放的定量计算；结合实际项目建造碳排放数据和企业特性，研发分别面向项目和企业两个层面的碳排放管理平台；参考现行的建筑运行阶段能耗限额制度科学制定建筑建造阶段碳排放限额；有针对性地进行提出建造阶段节能降碳措施，并制定出适合建筑施工企业的碳排放管理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包括但不限于软件著作权2项，论文2篇，培养工程师1名，示范项目2项，管理制度1项，标准1项，研究报告1份。</w:t>
      </w:r>
    </w:p>
    <w:p>
      <w:pPr>
        <w:ind w:firstLine="640" w:firstLineChars="200"/>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八、建筑机器人精益建造体系在工程项目研究与应用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建立</w:t>
      </w:r>
      <w:r>
        <w:rPr>
          <w:rFonts w:hint="eastAsia" w:ascii="仿宋_GB2312" w:hAnsi="仿宋_GB2312" w:eastAsia="仿宋_GB2312" w:cs="仿宋_GB2312"/>
          <w:sz w:val="32"/>
          <w:szCs w:val="32"/>
          <w:lang w:val="en-US" w:eastAsia="zh-CN"/>
        </w:rPr>
        <w:t>机器人精益建造</w:t>
      </w:r>
      <w:r>
        <w:rPr>
          <w:rFonts w:hint="eastAsia" w:ascii="仿宋_GB2312" w:hAnsi="仿宋_GB2312" w:eastAsia="仿宋_GB2312" w:cs="仿宋_GB2312"/>
          <w:kern w:val="0"/>
          <w:sz w:val="32"/>
          <w:szCs w:val="32"/>
        </w:rPr>
        <w:t>评价模型，对建筑机器人作业影响因素进行研究分析，</w:t>
      </w:r>
      <w:r>
        <w:rPr>
          <w:rFonts w:hint="eastAsia" w:ascii="仿宋_GB2312" w:hAnsi="仿宋_GB2312" w:eastAsia="仿宋_GB2312" w:cs="仿宋_GB2312"/>
          <w:kern w:val="0"/>
          <w:sz w:val="32"/>
          <w:szCs w:val="32"/>
          <w:lang w:eastAsia="zh-CN"/>
        </w:rPr>
        <w:t>编制</w:t>
      </w:r>
      <w:r>
        <w:rPr>
          <w:rFonts w:hint="eastAsia" w:ascii="仿宋_GB2312" w:hAnsi="仿宋_GB2312" w:eastAsia="仿宋_GB2312" w:cs="仿宋_GB2312"/>
          <w:kern w:val="0"/>
          <w:sz w:val="32"/>
          <w:szCs w:val="32"/>
        </w:rPr>
        <w:t>单工艺作业级、分项工程级和单位工程级的作业综合效能评价标准，推动建在机器人智能建造人-机-环协同管理模式落地。建立符合交付标准的</w:t>
      </w:r>
      <w:r>
        <w:rPr>
          <w:rFonts w:hint="eastAsia" w:ascii="仿宋_GB2312" w:hAnsi="仿宋_GB2312" w:eastAsia="仿宋_GB2312" w:cs="仿宋_GB2312"/>
          <w:kern w:val="0"/>
          <w:sz w:val="32"/>
          <w:szCs w:val="32"/>
          <w:lang w:val="en-US" w:eastAsia="zh-CN"/>
        </w:rPr>
        <w:t>BIM</w:t>
      </w:r>
      <w:r>
        <w:rPr>
          <w:rFonts w:hint="eastAsia" w:ascii="仿宋_GB2312" w:hAnsi="仿宋_GB2312" w:eastAsia="仿宋_GB2312" w:cs="仿宋_GB2312"/>
          <w:kern w:val="0"/>
          <w:sz w:val="32"/>
          <w:szCs w:val="32"/>
        </w:rPr>
        <w:t>模型，实现多机数字化连通+部分环节多机协同，形成基于快速建造需求的机器人资源冗余配置方法，增强机器人多机智能调度能力满足项目快速建造的要求，形成多场景、多机器人、多工艺共同作业施工体系。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包括但不限于发布建筑机器人作业效能评价标准；形成建筑机器人精益建造行业指导手册；发布建筑机器人协同管控平台；示范应用项目2项；论文2篇；</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专利5项；软著2项；培养高级工程师1名。</w:t>
      </w:r>
    </w:p>
    <w:p>
      <w:pPr>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九、广东省公共建筑空调系统电力需求侧响应方法研究</w:t>
      </w:r>
    </w:p>
    <w:p>
      <w:pPr>
        <w:ind w:firstLine="640" w:firstLineChars="200"/>
        <w:jc w:val="both"/>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sz w:val="32"/>
          <w:szCs w:val="32"/>
          <w:lang w:val="en-US" w:eastAsia="zh-CN"/>
        </w:rPr>
        <w:t>。针对不同的用户特征、空调系统形式，开展空调系统负荷参与配电网需求响应的控制方法，提出空调系统参与电网需求响应的负荷调度策略，有效实现夏季用电高峰时段电网电压控制，为全省电力需求侧响应的开展提供基础和思路。</w:t>
      </w:r>
    </w:p>
    <w:p>
      <w:pPr>
        <w:ind w:firstLine="640" w:firstLineChars="200"/>
        <w:jc w:val="both"/>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sz w:val="32"/>
          <w:szCs w:val="32"/>
          <w:lang w:val="en-US" w:eastAsia="zh-CN"/>
        </w:rPr>
        <w:t>。包括但不限于形成《广东省公共建筑空调系统电力需求侧响应方法技术导则》，发表论文1篇。</w:t>
      </w:r>
    </w:p>
    <w:p>
      <w:pPr>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十、厂房类项目绿色建造的关键技术和精细化管理研究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改进厂房项目建造管理方式，借鉴住宅类项目的施工经验，将厂房项目分解成基础、主体结构、屋面、设备安装等多个模块，并针对各个模块开展深化设计，引入BIM技术，提前策划，改进施工工艺，提升绿色施工效果，针对性在“四节一环保”方向上总结新工艺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包括但不限于形成一套施工工法、完成一篇论文、申请1项专利、形成技术总结1篇及施工指导手册1本。</w:t>
      </w:r>
    </w:p>
    <w:p>
      <w:pPr>
        <w:ind w:firstLine="640" w:firstLineChars="200"/>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十一、住宅类项目铝模体系深化设计标准图集研究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针对住宅类项目采用铝模体系时，图集生产、现场深化设计方面指导标准</w:t>
      </w:r>
      <w:r>
        <w:rPr>
          <w:rFonts w:hint="eastAsia" w:ascii="仿宋_GB2312" w:hAnsi="仿宋_GB2312" w:eastAsia="仿宋_GB2312" w:cs="仿宋_GB2312"/>
          <w:kern w:val="0"/>
          <w:sz w:val="32"/>
          <w:szCs w:val="32"/>
          <w:lang w:eastAsia="zh-CN"/>
        </w:rPr>
        <w:t>缺失，</w:t>
      </w:r>
      <w:r>
        <w:rPr>
          <w:rFonts w:hint="eastAsia" w:ascii="仿宋_GB2312" w:hAnsi="仿宋_GB2312" w:eastAsia="仿宋_GB2312" w:cs="仿宋_GB2312"/>
          <w:kern w:val="0"/>
          <w:sz w:val="32"/>
          <w:szCs w:val="32"/>
        </w:rPr>
        <w:t>以实际项目为载体，对项目施工过程中各种部位（含规则和不规则部位）的铝模搭设和施工工艺、标准等进行归纳总结，形成标准的深化设计图集和操作手册。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包括但不限于编制1本铝模深化设计标准图集、1本铝模结构标准施工操作手册。</w:t>
      </w:r>
    </w:p>
    <w:p>
      <w:pPr>
        <w:ind w:firstLine="640" w:firstLineChars="200"/>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十二、太阳能耦合蓄水绿化隔热屋面技术研究</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0"/>
          <w:sz w:val="32"/>
          <w:szCs w:val="32"/>
        </w:rPr>
        <w:t>在项目的部分屋面上形成以蓄水、种植、通风、太阳能禺合利用为一体的复合式生态蓄水种植绿化隔热低碳示范屋面，克服一般绿化屋面存在的蓄水量小、反向传热、蚊虫滋生、太阳能耦合利用差等问题，提升屋面的隔热性能、蓄水性能、生态环境效应和低碳效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包括但不限于发表论文2篇、申请专利4项、形成工法1项、编制省级规范或标准2个、专著1部。</w:t>
      </w:r>
    </w:p>
    <w:p>
      <w:pPr>
        <w:ind w:firstLine="640" w:firstLineChars="200"/>
        <w:jc w:val="both"/>
        <w:rPr>
          <w:rFonts w:hint="eastAsia" w:ascii="仿宋_GB2312" w:hAnsi="仿宋_GB2312" w:eastAsia="仿宋_GB2312" w:cs="仿宋_GB2312"/>
          <w:sz w:val="32"/>
          <w:szCs w:val="32"/>
          <w:lang w:val="en-US" w:eastAsia="zh-CN"/>
        </w:rPr>
      </w:pP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十三、具有传统文化特色的现代化农房建造方式研究</w:t>
      </w:r>
    </w:p>
    <w:p>
      <w:pPr>
        <w:numPr>
          <w:ilvl w:val="0"/>
          <w:numId w:val="0"/>
        </w:numPr>
        <w:ind w:firstLine="640" w:firstLineChars="200"/>
        <w:jc w:val="both"/>
        <w:rPr>
          <w:rFonts w:hint="eastAsia" w:ascii="仿宋_GB2312" w:hAnsi="仿宋_GB2312" w:eastAsia="仿宋_GB2312" w:cs="仿宋_GB2312"/>
          <w:kern w:val="0"/>
          <w:sz w:val="32"/>
          <w:szCs w:val="32"/>
          <w:lang w:eastAsia="zh-CN"/>
        </w:rPr>
      </w:pPr>
      <w:r>
        <w:rPr>
          <w:rFonts w:hint="eastAsia" w:ascii="楷体_GB2312" w:hAnsi="楷体_GB2312" w:eastAsia="楷体_GB2312" w:cs="楷体_GB2312"/>
          <w:sz w:val="32"/>
          <w:szCs w:val="40"/>
          <w:highlight w:val="none"/>
          <w:lang w:val="en-US" w:eastAsia="zh-CN"/>
        </w:rPr>
        <w:t>（一）研究目标。</w:t>
      </w:r>
      <w:r>
        <w:rPr>
          <w:rFonts w:hint="eastAsia" w:ascii="仿宋_GB2312" w:hAnsi="仿宋_GB2312" w:eastAsia="仿宋_GB2312" w:cs="仿宋_GB2312"/>
          <w:kern w:val="2"/>
          <w:sz w:val="32"/>
          <w:szCs w:val="32"/>
          <w:lang w:val="en-US" w:eastAsia="zh-CN"/>
        </w:rPr>
        <w:t>探索新型建造方式与岭南传统文化特色、文化元素的融合方式，尊重乡土风貌和地域特色，充分挖掘和保护传承村庄物质和非物质文化遗存，保护并改善村落的历史环境和生态环境，形成新时代具有岭南特色的现代化民居的设计思路和建设方法，在传承历史文脉的同时满足新时代乡村振兴发展和人民现代化生活的需求</w:t>
      </w:r>
      <w:r>
        <w:rPr>
          <w:rFonts w:hint="eastAsia" w:ascii="仿宋_GB2312" w:hAnsi="仿宋_GB2312" w:eastAsia="仿宋_GB2312" w:cs="仿宋_GB2312"/>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lang w:val="en-US" w:eastAsia="zh-CN"/>
        </w:rPr>
      </w:pPr>
      <w:r>
        <w:rPr>
          <w:rFonts w:hint="eastAsia" w:ascii="楷体_GB2312" w:hAnsi="楷体_GB2312" w:eastAsia="楷体_GB2312" w:cs="楷体_GB2312"/>
          <w:sz w:val="32"/>
          <w:szCs w:val="40"/>
          <w:highlight w:val="none"/>
          <w:lang w:val="en-US" w:eastAsia="zh-CN"/>
        </w:rPr>
        <w:t>（二）成果要求。</w:t>
      </w:r>
      <w:r>
        <w:rPr>
          <w:rFonts w:hint="eastAsia" w:ascii="仿宋_GB2312" w:hAnsi="仿宋_GB2312" w:eastAsia="仿宋_GB2312" w:cs="仿宋_GB2312"/>
          <w:kern w:val="0"/>
          <w:sz w:val="32"/>
          <w:szCs w:val="32"/>
          <w:lang w:val="en-US" w:eastAsia="zh-CN"/>
        </w:rPr>
        <w:t>包括但不限于形成1本农房建设研究报告、1本农房建设技术指引。</w:t>
      </w:r>
    </w:p>
    <w:p>
      <w:pPr>
        <w:ind w:firstLine="640" w:firstLineChars="200"/>
        <w:jc w:val="both"/>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hNmZiZDVmMTJkOGUyMTNlYjUxOGM5NzE2ZDYxZTIifQ=="/>
  </w:docVars>
  <w:rsids>
    <w:rsidRoot w:val="37B920A3"/>
    <w:rsid w:val="237DE146"/>
    <w:rsid w:val="35F81DE3"/>
    <w:rsid w:val="37B920A3"/>
    <w:rsid w:val="3F7BC0A1"/>
    <w:rsid w:val="4EE334F2"/>
    <w:rsid w:val="7FCB6799"/>
    <w:rsid w:val="99B7E450"/>
    <w:rsid w:val="A49AB624"/>
    <w:rsid w:val="BEFFBCFD"/>
    <w:rsid w:val="FEFEF796"/>
    <w:rsid w:val="FFFC1478"/>
    <w:rsid w:val="FFFFD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9"/>
    <w:pPr>
      <w:keepNext/>
      <w:keepLines/>
      <w:spacing w:beforeLines="0" w:beforeAutospacing="0" w:afterLines="0" w:afterAutospacing="0" w:line="240" w:lineRule="auto"/>
      <w:outlineLvl w:val="1"/>
    </w:pPr>
    <w:rPr>
      <w:rFonts w:ascii="Times New Roman" w:hAnsi="Times New Roman" w:eastAsia="宋体"/>
      <w:b/>
      <w:sz w:val="30"/>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qFormat/>
    <w:uiPriority w:val="0"/>
    <w:pPr>
      <w:widowControl w:val="0"/>
      <w:jc w:val="both"/>
    </w:pPr>
    <w:rPr>
      <w:rFonts w:ascii="宋体" w:hAnsi="Courier New" w:eastAsia="宋体" w:cs="宋体"/>
      <w:kern w:val="2"/>
      <w:sz w:val="21"/>
      <w:szCs w:val="21"/>
      <w:lang w:val="en-US" w:eastAsia="zh-CN"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unhideWhenUsed/>
    <w:qFormat/>
    <w:uiPriority w:val="99"/>
    <w:pPr>
      <w:ind w:firstLine="420" w:firstLineChars="200"/>
    </w:pPr>
  </w:style>
  <w:style w:type="paragraph" w:customStyle="1" w:styleId="9">
    <w:name w:val="样式1"/>
    <w:basedOn w:val="1"/>
    <w:qFormat/>
    <w:uiPriority w:val="0"/>
    <w:pPr>
      <w:spacing w:line="360" w:lineRule="auto"/>
      <w:ind w:firstLine="480" w:firstLineChars="200"/>
    </w:pPr>
    <w:rPr>
      <w:rFonts w:hint="eastAsia" w:ascii="仿宋_GB2312" w:hAnsi="仿宋_GB2312" w:eastAsia="仿宋_GB2312" w:cs="仿宋_GB2312"/>
      <w:color w:val="333333"/>
      <w:sz w:val="28"/>
      <w:szCs w:val="28"/>
      <w:shd w:val="clear" w:color="auto" w:fil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1075</Words>
  <Characters>1132</Characters>
  <Lines>0</Lines>
  <Paragraphs>0</Paragraphs>
  <TotalTime>4</TotalTime>
  <ScaleCrop>false</ScaleCrop>
  <LinksUpToDate>false</LinksUpToDate>
  <CharactersWithSpaces>1134</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2023-05-23T16:43:00Z</dcterms:created>
  <dc:creator>江泽涛</dc:creator>
  <cp:lastModifiedBy>twh</cp:lastModifiedBy>
  <cp:lastPrinted>2023-12-21T14:31:00Z</cp:lastPrinted>
  <dcterms:modified xsi:type="dcterms:W3CDTF">2024-04-09T16:48:18Z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8943B34C0F5A466D8F13FA64E2649EF8_11</vt:lpwstr>
  </property>
  <property fmtid="{D5CDD505-2E9C-101B-9397-08002B2CF9AE}" pid="4" name="showFlag">
    <vt:bool>true</vt:bool>
  </property>
  <property fmtid="{D5CDD505-2E9C-101B-9397-08002B2CF9AE}" pid="5" name="userName">
    <vt:lpwstr>周娟</vt:lpwstr>
  </property>
</Properties>
</file>